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B4F0" w14:textId="77777777" w:rsidR="00BD17F7" w:rsidRPr="00785756" w:rsidRDefault="00BD17F7" w:rsidP="00785756">
      <w:pPr>
        <w:spacing w:after="0" w:line="276" w:lineRule="auto"/>
        <w:rPr>
          <w:rFonts w:cs="Times New Roman"/>
        </w:rPr>
      </w:pPr>
    </w:p>
    <w:p w14:paraId="77E119E9" w14:textId="1F4F09CB" w:rsidR="00BD17F7" w:rsidRPr="00785756" w:rsidRDefault="00BD17F7" w:rsidP="00785756">
      <w:pPr>
        <w:spacing w:before="100" w:beforeAutospacing="1" w:after="0" w:line="276" w:lineRule="auto"/>
        <w:rPr>
          <w:rFonts w:eastAsia="Times New Roman" w:cs="Times New Roman"/>
          <w:kern w:val="0"/>
          <w14:ligatures w14:val="none"/>
        </w:rPr>
      </w:pPr>
      <w:r w:rsidRPr="00785756">
        <w:rPr>
          <w:rFonts w:eastAsia="Times New Roman" w:cs="Times New Roman"/>
          <w:kern w:val="0"/>
          <w14:ligatures w14:val="none"/>
        </w:rPr>
        <w:t xml:space="preserve">Here’s the detailed alignment of </w:t>
      </w:r>
      <w:r w:rsidRPr="00785756">
        <w:rPr>
          <w:rFonts w:eastAsia="Times New Roman" w:cs="Times New Roman"/>
          <w:b/>
          <w:bCs/>
          <w:kern w:val="0"/>
          <w14:ligatures w14:val="none"/>
        </w:rPr>
        <w:t>evidence and document sections</w:t>
      </w:r>
      <w:r w:rsidRPr="00785756">
        <w:rPr>
          <w:rFonts w:eastAsia="Times New Roman" w:cs="Times New Roman"/>
          <w:kern w:val="0"/>
          <w14:ligatures w14:val="none"/>
        </w:rPr>
        <w:t xml:space="preserve"> supporting the claim for </w:t>
      </w:r>
      <w:r w:rsidR="00785756" w:rsidRPr="00785756">
        <w:rPr>
          <w:rFonts w:eastAsia="Times New Roman" w:cs="Times New Roman"/>
          <w:kern w:val="0"/>
          <w:u w:val="single"/>
          <w14:ligatures w14:val="none"/>
        </w:rPr>
        <w:t>“</w:t>
      </w:r>
      <w:r w:rsidRPr="00785756">
        <w:rPr>
          <w:rFonts w:eastAsia="Times New Roman" w:cs="Times New Roman"/>
          <w:b/>
          <w:bCs/>
          <w:kern w:val="0"/>
          <w:u w:val="single"/>
          <w14:ligatures w14:val="none"/>
        </w:rPr>
        <w:t>Return Journey Baggage Fee (Antalya Airport)</w:t>
      </w:r>
      <w:r w:rsidRPr="00785756">
        <w:rPr>
          <w:rFonts w:eastAsia="Times New Roman" w:cs="Times New Roman"/>
          <w:kern w:val="0"/>
          <w:u w:val="single"/>
          <w14:ligatures w14:val="none"/>
        </w:rPr>
        <w:t>,</w:t>
      </w:r>
      <w:r w:rsidR="00785756" w:rsidRPr="00785756">
        <w:rPr>
          <w:rFonts w:eastAsia="Times New Roman" w:cs="Times New Roman"/>
          <w:kern w:val="0"/>
          <w:u w:val="single"/>
          <w14:ligatures w14:val="none"/>
        </w:rPr>
        <w:t>”</w:t>
      </w:r>
      <w:r w:rsidRPr="00785756">
        <w:rPr>
          <w:rFonts w:eastAsia="Times New Roman" w:cs="Times New Roman"/>
          <w:kern w:val="0"/>
          <w14:ligatures w14:val="none"/>
        </w:rPr>
        <w:t xml:space="preserve"> using </w:t>
      </w:r>
      <w:r w:rsidRPr="00785756">
        <w:rPr>
          <w:rFonts w:eastAsia="Times New Roman" w:cs="Times New Roman"/>
          <w:b/>
          <w:bCs/>
          <w:kern w:val="0"/>
          <w14:ligatures w14:val="none"/>
        </w:rPr>
        <w:t>Exhibits A to N</w:t>
      </w:r>
      <w:r w:rsidRPr="00785756">
        <w:rPr>
          <w:rFonts w:eastAsia="Times New Roman" w:cs="Times New Roman"/>
          <w:kern w:val="0"/>
          <w14:ligatures w14:val="none"/>
        </w:rPr>
        <w:t xml:space="preserve"> and </w:t>
      </w:r>
      <w:r w:rsidRPr="00785756">
        <w:rPr>
          <w:rFonts w:eastAsia="Times New Roman" w:cs="Times New Roman"/>
          <w:b/>
          <w:bCs/>
          <w:kern w:val="0"/>
          <w14:ligatures w14:val="none"/>
        </w:rPr>
        <w:t>Exhibits 1 to 34</w:t>
      </w:r>
      <w:r w:rsidRPr="00785756">
        <w:rPr>
          <w:rFonts w:eastAsia="Times New Roman" w:cs="Times New Roman"/>
          <w:kern w:val="0"/>
          <w14:ligatures w14:val="none"/>
        </w:rPr>
        <w:t>:</w:t>
      </w:r>
    </w:p>
    <w:p w14:paraId="0189E90A" w14:textId="77777777" w:rsidR="00785756" w:rsidRDefault="00785756" w:rsidP="00785756">
      <w:pPr>
        <w:rPr>
          <w:b/>
          <w:bCs/>
          <w:u w:val="single"/>
        </w:rPr>
      </w:pPr>
    </w:p>
    <w:p w14:paraId="2C4B9749" w14:textId="43F2871E" w:rsidR="0039287B" w:rsidRPr="0039287B" w:rsidRDefault="0039287B" w:rsidP="0039287B">
      <w:pPr>
        <w:rPr>
          <w:b/>
          <w:bCs/>
          <w:u w:val="single"/>
        </w:rPr>
      </w:pPr>
      <w:r w:rsidRPr="0039287B">
        <w:rPr>
          <w:b/>
          <w:bCs/>
          <w:u w:val="single"/>
        </w:rPr>
        <w:t>Alignment of Exhibits with "Return Journey Baggage Fee (Antalya Airport)"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9"/>
        <w:gridCol w:w="1934"/>
        <w:gridCol w:w="6147"/>
      </w:tblGrid>
      <w:tr w:rsidR="00BA55EA" w:rsidRPr="0039287B" w14:paraId="715AF5B1" w14:textId="77777777" w:rsidTr="0039287B">
        <w:trPr>
          <w:tblHeader/>
          <w:tblCellSpacing w:w="15" w:type="dxa"/>
        </w:trPr>
        <w:tc>
          <w:tcPr>
            <w:tcW w:w="0" w:type="auto"/>
            <w:vAlign w:val="center"/>
            <w:hideMark/>
          </w:tcPr>
          <w:p w14:paraId="6AF7995E" w14:textId="77777777" w:rsidR="0039287B" w:rsidRPr="0039287B" w:rsidRDefault="0039287B" w:rsidP="0039287B">
            <w:pPr>
              <w:spacing w:after="0" w:line="360" w:lineRule="auto"/>
              <w:jc w:val="center"/>
              <w:rPr>
                <w:rFonts w:eastAsia="Times New Roman" w:cs="Times New Roman"/>
                <w:b/>
                <w:bCs/>
                <w:kern w:val="0"/>
                <w14:ligatures w14:val="none"/>
              </w:rPr>
            </w:pPr>
            <w:r w:rsidRPr="0039287B">
              <w:rPr>
                <w:rFonts w:eastAsia="Times New Roman" w:cs="Times New Roman"/>
                <w:b/>
                <w:bCs/>
                <w:kern w:val="0"/>
                <w14:ligatures w14:val="none"/>
              </w:rPr>
              <w:t>Exhibit Reference</w:t>
            </w:r>
          </w:p>
        </w:tc>
        <w:tc>
          <w:tcPr>
            <w:tcW w:w="0" w:type="auto"/>
            <w:vAlign w:val="center"/>
            <w:hideMark/>
          </w:tcPr>
          <w:p w14:paraId="37C3A0C9" w14:textId="77777777" w:rsidR="0039287B" w:rsidRPr="0039287B" w:rsidRDefault="0039287B" w:rsidP="0039287B">
            <w:pPr>
              <w:spacing w:after="0" w:line="360" w:lineRule="auto"/>
              <w:jc w:val="center"/>
              <w:rPr>
                <w:rFonts w:eastAsia="Times New Roman" w:cs="Times New Roman"/>
                <w:b/>
                <w:bCs/>
                <w:kern w:val="0"/>
                <w14:ligatures w14:val="none"/>
              </w:rPr>
            </w:pPr>
            <w:r w:rsidRPr="0039287B">
              <w:rPr>
                <w:rFonts w:eastAsia="Times New Roman" w:cs="Times New Roman"/>
                <w:b/>
                <w:bCs/>
                <w:kern w:val="0"/>
                <w14:ligatures w14:val="none"/>
              </w:rPr>
              <w:t>Description</w:t>
            </w:r>
          </w:p>
        </w:tc>
        <w:tc>
          <w:tcPr>
            <w:tcW w:w="0" w:type="auto"/>
            <w:vAlign w:val="center"/>
            <w:hideMark/>
          </w:tcPr>
          <w:p w14:paraId="66FC1FC0" w14:textId="77777777" w:rsidR="0039287B" w:rsidRPr="0039287B" w:rsidRDefault="0039287B" w:rsidP="0039287B">
            <w:pPr>
              <w:spacing w:after="0" w:line="360" w:lineRule="auto"/>
              <w:jc w:val="center"/>
              <w:rPr>
                <w:rFonts w:eastAsia="Times New Roman" w:cs="Times New Roman"/>
                <w:b/>
                <w:bCs/>
                <w:kern w:val="0"/>
                <w14:ligatures w14:val="none"/>
              </w:rPr>
            </w:pPr>
            <w:r w:rsidRPr="0039287B">
              <w:rPr>
                <w:rFonts w:eastAsia="Times New Roman" w:cs="Times New Roman"/>
                <w:b/>
                <w:bCs/>
                <w:kern w:val="0"/>
                <w14:ligatures w14:val="none"/>
              </w:rPr>
              <w:t>Relevance to Claim</w:t>
            </w:r>
          </w:p>
        </w:tc>
      </w:tr>
      <w:tr w:rsidR="00BA55EA" w:rsidRPr="0039287B" w14:paraId="0B8EFDF7" w14:textId="77777777" w:rsidTr="0039287B">
        <w:trPr>
          <w:tblCellSpacing w:w="15" w:type="dxa"/>
        </w:trPr>
        <w:tc>
          <w:tcPr>
            <w:tcW w:w="0" w:type="auto"/>
            <w:vAlign w:val="center"/>
            <w:hideMark/>
          </w:tcPr>
          <w:p w14:paraId="49908B8D"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Exhibit J</w:t>
            </w:r>
          </w:p>
        </w:tc>
        <w:tc>
          <w:tcPr>
            <w:tcW w:w="0" w:type="auto"/>
            <w:vAlign w:val="center"/>
            <w:hideMark/>
          </w:tcPr>
          <w:p w14:paraId="49466AA0"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Antalya Airport Baggage Fee Receipt</w:t>
            </w:r>
          </w:p>
        </w:tc>
        <w:tc>
          <w:tcPr>
            <w:tcW w:w="0" w:type="auto"/>
            <w:vAlign w:val="center"/>
            <w:hideMark/>
          </w:tcPr>
          <w:p w14:paraId="2D756420" w14:textId="471A6E53"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Reflects the additional </w:t>
            </w:r>
            <w:r w:rsidRPr="0039287B">
              <w:rPr>
                <w:rFonts w:eastAsia="Times New Roman" w:cs="Times New Roman"/>
                <w:b/>
                <w:bCs/>
                <w:kern w:val="0"/>
                <w14:ligatures w14:val="none"/>
              </w:rPr>
              <w:t xml:space="preserve">£69.63 </w:t>
            </w:r>
            <w:r w:rsidRPr="0039287B">
              <w:rPr>
                <w:rFonts w:eastAsia="Times New Roman" w:cs="Times New Roman"/>
                <w:kern w:val="0"/>
                <w14:ligatures w14:val="none"/>
              </w:rPr>
              <w:t xml:space="preserve">charged at Antalya Airport for baggage due to </w:t>
            </w:r>
            <w:r w:rsidRPr="0039287B">
              <w:rPr>
                <w:rFonts w:eastAsia="Times New Roman" w:cs="Times New Roman"/>
                <w:b/>
                <w:bCs/>
                <w:kern w:val="0"/>
                <w14:ligatures w14:val="none"/>
              </w:rPr>
              <w:t>Trip.com’s</w:t>
            </w:r>
            <w:r w:rsidRPr="0039287B">
              <w:rPr>
                <w:rFonts w:eastAsia="Times New Roman" w:cs="Times New Roman"/>
                <w:kern w:val="0"/>
                <w14:ligatures w14:val="none"/>
              </w:rPr>
              <w:t xml:space="preserve"> </w:t>
            </w:r>
            <w:r w:rsidR="00BA55EA">
              <w:rPr>
                <w:rFonts w:eastAsia="Times New Roman" w:cs="Times New Roman"/>
                <w:kern w:val="0"/>
                <w14:ligatures w14:val="none"/>
              </w:rPr>
              <w:t xml:space="preserve">website </w:t>
            </w:r>
            <w:r w:rsidRPr="0039287B">
              <w:rPr>
                <w:rFonts w:eastAsia="Times New Roman" w:cs="Times New Roman"/>
                <w:kern w:val="0"/>
                <w14:ligatures w14:val="none"/>
              </w:rPr>
              <w:t>failure to correctly register the purchased allowance. The error forced SunExpress to treat the bags as unpaid, despite evidence proving payment for both outbound and return journeys.</w:t>
            </w:r>
          </w:p>
        </w:tc>
      </w:tr>
      <w:tr w:rsidR="00BA55EA" w:rsidRPr="0039287B" w14:paraId="367F53FE" w14:textId="77777777" w:rsidTr="0039287B">
        <w:trPr>
          <w:tblCellSpacing w:w="15" w:type="dxa"/>
        </w:trPr>
        <w:tc>
          <w:tcPr>
            <w:tcW w:w="0" w:type="auto"/>
            <w:vAlign w:val="center"/>
            <w:hideMark/>
          </w:tcPr>
          <w:p w14:paraId="07B19426"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Exhibit E</w:t>
            </w:r>
          </w:p>
        </w:tc>
        <w:tc>
          <w:tcPr>
            <w:tcW w:w="0" w:type="auto"/>
            <w:vAlign w:val="center"/>
            <w:hideMark/>
          </w:tcPr>
          <w:p w14:paraId="428D17BF"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EasyJet Supervisor Manager Computer Screenshot</w:t>
            </w:r>
          </w:p>
        </w:tc>
        <w:tc>
          <w:tcPr>
            <w:tcW w:w="0" w:type="auto"/>
            <w:vAlign w:val="center"/>
            <w:hideMark/>
          </w:tcPr>
          <w:p w14:paraId="39D4DF17"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Documents the assurance given by the EasyJet supervisor at Gatwick that baggage allowances had been fully registered for both journeys. SunExpress later contradicted this claim, leading to financial and logistical issues at Antalya.</w:t>
            </w:r>
          </w:p>
        </w:tc>
      </w:tr>
      <w:tr w:rsidR="00BA55EA" w:rsidRPr="0039287B" w14:paraId="2E96EC23" w14:textId="77777777" w:rsidTr="0039287B">
        <w:trPr>
          <w:tblCellSpacing w:w="15" w:type="dxa"/>
        </w:trPr>
        <w:tc>
          <w:tcPr>
            <w:tcW w:w="0" w:type="auto"/>
            <w:vAlign w:val="center"/>
            <w:hideMark/>
          </w:tcPr>
          <w:p w14:paraId="4DC5FA8F"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Exhibit F</w:t>
            </w:r>
          </w:p>
        </w:tc>
        <w:tc>
          <w:tcPr>
            <w:tcW w:w="0" w:type="auto"/>
            <w:vAlign w:val="center"/>
            <w:hideMark/>
          </w:tcPr>
          <w:p w14:paraId="3F2A1E22"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Trip.com</w:t>
            </w:r>
            <w:r w:rsidRPr="0039287B">
              <w:rPr>
                <w:rFonts w:eastAsia="Times New Roman" w:cs="Times New Roman"/>
                <w:kern w:val="0"/>
                <w14:ligatures w14:val="none"/>
              </w:rPr>
              <w:t xml:space="preserve"> Invoice of Purchases</w:t>
            </w:r>
          </w:p>
        </w:tc>
        <w:tc>
          <w:tcPr>
            <w:tcW w:w="0" w:type="auto"/>
            <w:vAlign w:val="center"/>
            <w:hideMark/>
          </w:tcPr>
          <w:p w14:paraId="4DD2E48E"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Shows the payment made for baggage, which included the 15kg allowance. This evidence highlights the improper classification of the purchased baggage, which contributed to the additional charges.</w:t>
            </w:r>
          </w:p>
        </w:tc>
      </w:tr>
      <w:tr w:rsidR="00BA55EA" w:rsidRPr="0039287B" w14:paraId="4C8C15CD" w14:textId="77777777" w:rsidTr="0039287B">
        <w:trPr>
          <w:tblCellSpacing w:w="15" w:type="dxa"/>
        </w:trPr>
        <w:tc>
          <w:tcPr>
            <w:tcW w:w="0" w:type="auto"/>
            <w:vAlign w:val="center"/>
            <w:hideMark/>
          </w:tcPr>
          <w:p w14:paraId="6EEDB84E"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Exhibit P</w:t>
            </w:r>
          </w:p>
        </w:tc>
        <w:tc>
          <w:tcPr>
            <w:tcW w:w="0" w:type="auto"/>
            <w:vAlign w:val="center"/>
            <w:hideMark/>
          </w:tcPr>
          <w:p w14:paraId="30C46E04"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SunExpress Staff Statements</w:t>
            </w:r>
          </w:p>
        </w:tc>
        <w:tc>
          <w:tcPr>
            <w:tcW w:w="0" w:type="auto"/>
            <w:vAlign w:val="center"/>
            <w:hideMark/>
          </w:tcPr>
          <w:p w14:paraId="7ABD55A8" w14:textId="1266542F"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Acknowledges that </w:t>
            </w:r>
            <w:r w:rsidRPr="0039287B">
              <w:rPr>
                <w:rFonts w:eastAsia="Times New Roman" w:cs="Times New Roman"/>
                <w:b/>
                <w:bCs/>
                <w:kern w:val="0"/>
                <w14:ligatures w14:val="none"/>
              </w:rPr>
              <w:t>Trip.com</w:t>
            </w:r>
            <w:r w:rsidRPr="0039287B">
              <w:rPr>
                <w:rFonts w:eastAsia="Times New Roman" w:cs="Times New Roman"/>
                <w:kern w:val="0"/>
                <w14:ligatures w14:val="none"/>
              </w:rPr>
              <w:t xml:space="preserve"> misallocated the paid baggage allowance </w:t>
            </w:r>
            <w:r w:rsidR="00BA55EA">
              <w:rPr>
                <w:rFonts w:eastAsia="Times New Roman" w:cs="Times New Roman"/>
                <w:kern w:val="0"/>
                <w14:ligatures w14:val="none"/>
              </w:rPr>
              <w:t>for t</w:t>
            </w:r>
            <w:r w:rsidRPr="0039287B">
              <w:rPr>
                <w:rFonts w:eastAsia="Times New Roman" w:cs="Times New Roman"/>
                <w:kern w:val="0"/>
                <w14:ligatures w14:val="none"/>
              </w:rPr>
              <w:t xml:space="preserve"> the outbound journey </w:t>
            </w:r>
            <w:r w:rsidR="00BA55EA">
              <w:rPr>
                <w:rFonts w:eastAsia="Times New Roman" w:cs="Times New Roman"/>
                <w:kern w:val="0"/>
                <w14:ligatures w14:val="none"/>
              </w:rPr>
              <w:t xml:space="preserve">and the return Journey, </w:t>
            </w:r>
            <w:r w:rsidRPr="0039287B">
              <w:rPr>
                <w:rFonts w:eastAsia="Times New Roman" w:cs="Times New Roman"/>
                <w:kern w:val="0"/>
                <w14:ligatures w14:val="none"/>
              </w:rPr>
              <w:t>which caused the issue</w:t>
            </w:r>
            <w:r w:rsidR="00BA55EA">
              <w:rPr>
                <w:rFonts w:eastAsia="Times New Roman" w:cs="Times New Roman"/>
                <w:kern w:val="0"/>
                <w14:ligatures w14:val="none"/>
              </w:rPr>
              <w:t>s</w:t>
            </w:r>
            <w:r w:rsidRPr="0039287B">
              <w:rPr>
                <w:rFonts w:eastAsia="Times New Roman" w:cs="Times New Roman"/>
                <w:kern w:val="0"/>
                <w14:ligatures w14:val="none"/>
              </w:rPr>
              <w:t>.</w:t>
            </w:r>
          </w:p>
        </w:tc>
      </w:tr>
    </w:tbl>
    <w:p w14:paraId="500AA897" w14:textId="77777777" w:rsidR="0039287B" w:rsidRDefault="0039287B" w:rsidP="0039287B">
      <w:pPr>
        <w:rPr>
          <w:b/>
          <w:bCs/>
          <w:u w:val="single"/>
        </w:rPr>
      </w:pPr>
    </w:p>
    <w:p w14:paraId="352D3868" w14:textId="5CA8BA94" w:rsidR="0039287B" w:rsidRPr="0039287B" w:rsidRDefault="0039287B" w:rsidP="0039287B">
      <w:pPr>
        <w:rPr>
          <w:b/>
          <w:bCs/>
          <w:u w:val="single"/>
        </w:rPr>
      </w:pPr>
      <w:r w:rsidRPr="0039287B">
        <w:rPr>
          <w:b/>
          <w:bCs/>
          <w:u w:val="single"/>
        </w:rPr>
        <w:t>Relevant Sections of the Document Supporting the Claim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7265"/>
      </w:tblGrid>
      <w:tr w:rsidR="00BA55EA" w:rsidRPr="0039287B" w14:paraId="1B5B09F4" w14:textId="77777777" w:rsidTr="0039287B">
        <w:trPr>
          <w:tblHeader/>
          <w:tblCellSpacing w:w="15" w:type="dxa"/>
        </w:trPr>
        <w:tc>
          <w:tcPr>
            <w:tcW w:w="0" w:type="auto"/>
            <w:vAlign w:val="center"/>
            <w:hideMark/>
          </w:tcPr>
          <w:p w14:paraId="22D9CCF1" w14:textId="77777777" w:rsidR="0039287B" w:rsidRPr="0039287B" w:rsidRDefault="0039287B" w:rsidP="0039287B">
            <w:pPr>
              <w:spacing w:after="0" w:line="360" w:lineRule="auto"/>
              <w:jc w:val="center"/>
              <w:rPr>
                <w:rFonts w:eastAsia="Times New Roman" w:cs="Times New Roman"/>
                <w:b/>
                <w:bCs/>
                <w:kern w:val="0"/>
                <w14:ligatures w14:val="none"/>
              </w:rPr>
            </w:pPr>
            <w:r w:rsidRPr="0039287B">
              <w:rPr>
                <w:rFonts w:eastAsia="Times New Roman" w:cs="Times New Roman"/>
                <w:b/>
                <w:bCs/>
                <w:kern w:val="0"/>
                <w14:ligatures w14:val="none"/>
              </w:rPr>
              <w:t>Section Title</w:t>
            </w:r>
          </w:p>
        </w:tc>
        <w:tc>
          <w:tcPr>
            <w:tcW w:w="0" w:type="auto"/>
            <w:vAlign w:val="center"/>
            <w:hideMark/>
          </w:tcPr>
          <w:p w14:paraId="18980741" w14:textId="77777777" w:rsidR="0039287B" w:rsidRPr="0039287B" w:rsidRDefault="0039287B" w:rsidP="0039287B">
            <w:pPr>
              <w:spacing w:after="0" w:line="360" w:lineRule="auto"/>
              <w:jc w:val="center"/>
              <w:rPr>
                <w:rFonts w:eastAsia="Times New Roman" w:cs="Times New Roman"/>
                <w:b/>
                <w:bCs/>
                <w:kern w:val="0"/>
                <w14:ligatures w14:val="none"/>
              </w:rPr>
            </w:pPr>
            <w:r w:rsidRPr="0039287B">
              <w:rPr>
                <w:rFonts w:eastAsia="Times New Roman" w:cs="Times New Roman"/>
                <w:b/>
                <w:bCs/>
                <w:kern w:val="0"/>
                <w14:ligatures w14:val="none"/>
              </w:rPr>
              <w:t>Details Supporting "Return Journey Baggage Fee (Antalya Airport)"</w:t>
            </w:r>
          </w:p>
        </w:tc>
      </w:tr>
      <w:tr w:rsidR="00BA55EA" w:rsidRPr="0039287B" w14:paraId="31011590" w14:textId="77777777" w:rsidTr="0039287B">
        <w:trPr>
          <w:tblCellSpacing w:w="15" w:type="dxa"/>
        </w:trPr>
        <w:tc>
          <w:tcPr>
            <w:tcW w:w="0" w:type="auto"/>
            <w:vAlign w:val="center"/>
            <w:hideMark/>
          </w:tcPr>
          <w:p w14:paraId="0E99981B"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Return Journey: Antalya Airport</w:t>
            </w:r>
          </w:p>
        </w:tc>
        <w:tc>
          <w:tcPr>
            <w:tcW w:w="0" w:type="auto"/>
            <w:vAlign w:val="center"/>
            <w:hideMark/>
          </w:tcPr>
          <w:p w14:paraId="356CFBB5"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Chronicles the events leading to the </w:t>
            </w:r>
            <w:r w:rsidRPr="0039287B">
              <w:rPr>
                <w:rFonts w:eastAsia="Times New Roman" w:cs="Times New Roman"/>
                <w:b/>
                <w:bCs/>
                <w:kern w:val="0"/>
                <w14:ligatures w14:val="none"/>
              </w:rPr>
              <w:t>£69.63</w:t>
            </w:r>
            <w:r w:rsidRPr="0039287B">
              <w:rPr>
                <w:rFonts w:eastAsia="Times New Roman" w:cs="Times New Roman"/>
                <w:kern w:val="0"/>
                <w14:ligatures w14:val="none"/>
              </w:rPr>
              <w:t xml:space="preserve"> baggage fee imposed at Antalya Airport due to </w:t>
            </w:r>
            <w:r w:rsidRPr="0039287B">
              <w:rPr>
                <w:rFonts w:eastAsia="Times New Roman" w:cs="Times New Roman"/>
                <w:b/>
                <w:bCs/>
                <w:kern w:val="0"/>
                <w14:ligatures w14:val="none"/>
              </w:rPr>
              <w:t>Trip.com’s</w:t>
            </w:r>
            <w:r w:rsidRPr="0039287B">
              <w:rPr>
                <w:rFonts w:eastAsia="Times New Roman" w:cs="Times New Roman"/>
                <w:kern w:val="0"/>
                <w14:ligatures w14:val="none"/>
              </w:rPr>
              <w:t xml:space="preserve"> failure to register the paid 15kg baggage allowance properly for the return leg.</w:t>
            </w:r>
          </w:p>
        </w:tc>
      </w:tr>
      <w:tr w:rsidR="00BA55EA" w:rsidRPr="0039287B" w14:paraId="027A3312" w14:textId="77777777" w:rsidTr="0039287B">
        <w:trPr>
          <w:tblCellSpacing w:w="15" w:type="dxa"/>
        </w:trPr>
        <w:tc>
          <w:tcPr>
            <w:tcW w:w="0" w:type="auto"/>
            <w:vAlign w:val="center"/>
            <w:hideMark/>
          </w:tcPr>
          <w:p w14:paraId="11A501BE"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Customer Service Interactions</w:t>
            </w:r>
          </w:p>
        </w:tc>
        <w:tc>
          <w:tcPr>
            <w:tcW w:w="0" w:type="auto"/>
            <w:vAlign w:val="center"/>
            <w:hideMark/>
          </w:tcPr>
          <w:p w14:paraId="024093FE" w14:textId="614A2C4E"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Highlights the claimant’s efforts to resolve the issue with </w:t>
            </w:r>
            <w:r w:rsidR="00BA55EA" w:rsidRPr="00BA55EA">
              <w:rPr>
                <w:rFonts w:eastAsia="Times New Roman" w:cs="Times New Roman"/>
                <w:kern w:val="0"/>
                <w14:ligatures w14:val="none"/>
              </w:rPr>
              <w:t>EasyJet</w:t>
            </w:r>
            <w:r w:rsidR="00BA55EA">
              <w:rPr>
                <w:rFonts w:eastAsia="Times New Roman" w:cs="Times New Roman"/>
                <w:b/>
                <w:bCs/>
                <w:kern w:val="0"/>
                <w14:ligatures w14:val="none"/>
              </w:rPr>
              <w:t xml:space="preserve"> </w:t>
            </w:r>
            <w:r w:rsidRPr="0039287B">
              <w:rPr>
                <w:rFonts w:eastAsia="Times New Roman" w:cs="Times New Roman"/>
                <w:kern w:val="0"/>
                <w14:ligatures w14:val="none"/>
              </w:rPr>
              <w:t xml:space="preserve">and SunExpress, who offered no satisfactory resolution, leaving the </w:t>
            </w:r>
            <w:r w:rsidR="003516E0" w:rsidRPr="0039287B">
              <w:rPr>
                <w:rFonts w:eastAsia="Times New Roman" w:cs="Times New Roman"/>
                <w:kern w:val="0"/>
                <w14:ligatures w14:val="none"/>
              </w:rPr>
              <w:t>claimant with</w:t>
            </w:r>
            <w:r w:rsidRPr="0039287B">
              <w:rPr>
                <w:rFonts w:eastAsia="Times New Roman" w:cs="Times New Roman"/>
                <w:kern w:val="0"/>
                <w14:ligatures w14:val="none"/>
              </w:rPr>
              <w:t xml:space="preserve"> no choice but to pay the additional fee</w:t>
            </w:r>
            <w:r w:rsidR="00BA55EA">
              <w:rPr>
                <w:rFonts w:eastAsia="Times New Roman" w:cs="Times New Roman"/>
                <w:kern w:val="0"/>
                <w14:ligatures w14:val="none"/>
              </w:rPr>
              <w:t>s again</w:t>
            </w:r>
            <w:r w:rsidRPr="0039287B">
              <w:rPr>
                <w:rFonts w:eastAsia="Times New Roman" w:cs="Times New Roman"/>
                <w:kern w:val="0"/>
                <w14:ligatures w14:val="none"/>
              </w:rPr>
              <w:t>.</w:t>
            </w:r>
          </w:p>
        </w:tc>
      </w:tr>
      <w:tr w:rsidR="00BA55EA" w:rsidRPr="0039287B" w14:paraId="01BF2227" w14:textId="77777777" w:rsidTr="0039287B">
        <w:trPr>
          <w:tblCellSpacing w:w="15" w:type="dxa"/>
        </w:trPr>
        <w:tc>
          <w:tcPr>
            <w:tcW w:w="0" w:type="auto"/>
            <w:vAlign w:val="center"/>
            <w:hideMark/>
          </w:tcPr>
          <w:p w14:paraId="2505EB12"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b/>
                <w:bCs/>
                <w:kern w:val="0"/>
                <w14:ligatures w14:val="none"/>
              </w:rPr>
              <w:t>Analysis and Findings</w:t>
            </w:r>
          </w:p>
        </w:tc>
        <w:tc>
          <w:tcPr>
            <w:tcW w:w="0" w:type="auto"/>
            <w:vAlign w:val="center"/>
            <w:hideMark/>
          </w:tcPr>
          <w:p w14:paraId="6F17DE7C" w14:textId="393657E6"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Explores how </w:t>
            </w:r>
            <w:r w:rsidRPr="0039287B">
              <w:rPr>
                <w:rFonts w:eastAsia="Times New Roman" w:cs="Times New Roman"/>
                <w:b/>
                <w:bCs/>
                <w:kern w:val="0"/>
                <w14:ligatures w14:val="none"/>
              </w:rPr>
              <w:t>Trip.com’s</w:t>
            </w:r>
            <w:r w:rsidRPr="0039287B">
              <w:rPr>
                <w:rFonts w:eastAsia="Times New Roman" w:cs="Times New Roman"/>
                <w:kern w:val="0"/>
                <w14:ligatures w14:val="none"/>
              </w:rPr>
              <w:t xml:space="preserve"> misleading website layout and </w:t>
            </w:r>
            <w:r w:rsidR="00BA55EA">
              <w:rPr>
                <w:rFonts w:eastAsia="Times New Roman" w:cs="Times New Roman"/>
                <w:kern w:val="0"/>
                <w14:ligatures w14:val="none"/>
              </w:rPr>
              <w:t xml:space="preserve">its </w:t>
            </w:r>
            <w:r w:rsidRPr="0039287B">
              <w:rPr>
                <w:rFonts w:eastAsia="Times New Roman" w:cs="Times New Roman"/>
                <w:kern w:val="0"/>
                <w14:ligatures w14:val="none"/>
              </w:rPr>
              <w:t>failure to manage booking details created confusion and led directly to financial losses and unnecessary stress.</w:t>
            </w:r>
          </w:p>
        </w:tc>
      </w:tr>
    </w:tbl>
    <w:p w14:paraId="1367176D" w14:textId="77777777" w:rsidR="0039287B" w:rsidRDefault="0039287B" w:rsidP="0039287B">
      <w:pPr>
        <w:rPr>
          <w:b/>
          <w:bCs/>
          <w:u w:val="single"/>
        </w:rPr>
      </w:pPr>
    </w:p>
    <w:p w14:paraId="1C8DE340" w14:textId="123842CB" w:rsidR="0039287B" w:rsidRPr="0039287B" w:rsidRDefault="0039287B" w:rsidP="0039287B">
      <w:pPr>
        <w:rPr>
          <w:b/>
          <w:bCs/>
          <w:u w:val="single"/>
        </w:rPr>
      </w:pPr>
      <w:r w:rsidRPr="0039287B">
        <w:rPr>
          <w:b/>
          <w:bCs/>
          <w:u w:val="single"/>
        </w:rPr>
        <w:t>Key Points of the Claim</w:t>
      </w:r>
    </w:p>
    <w:p w14:paraId="0A53C0C2" w14:textId="77777777" w:rsidR="0039287B" w:rsidRPr="0039287B" w:rsidRDefault="0039287B" w:rsidP="0039287B">
      <w:pPr>
        <w:numPr>
          <w:ilvl w:val="0"/>
          <w:numId w:val="2"/>
        </w:numPr>
        <w:spacing w:after="0" w:line="360" w:lineRule="auto"/>
        <w:rPr>
          <w:rFonts w:eastAsia="Times New Roman" w:cs="Times New Roman"/>
          <w:kern w:val="0"/>
          <w:u w:val="single"/>
          <w14:ligatures w14:val="none"/>
        </w:rPr>
      </w:pPr>
      <w:r w:rsidRPr="0039287B">
        <w:rPr>
          <w:rFonts w:eastAsia="Times New Roman" w:cs="Times New Roman"/>
          <w:b/>
          <w:bCs/>
          <w:kern w:val="0"/>
          <w:u w:val="single"/>
          <w14:ligatures w14:val="none"/>
        </w:rPr>
        <w:t>Mismanagement of Purchased Baggage (Trip.com’s Fault)</w:t>
      </w:r>
      <w:r w:rsidRPr="0039287B">
        <w:rPr>
          <w:rFonts w:eastAsia="Times New Roman" w:cs="Times New Roman"/>
          <w:b/>
          <w:bCs/>
          <w:kern w:val="0"/>
          <w14:ligatures w14:val="none"/>
        </w:rPr>
        <w:t>:</w:t>
      </w:r>
    </w:p>
    <w:p w14:paraId="4A1686ED" w14:textId="7C4C3AB6" w:rsidR="0039287B" w:rsidRDefault="0039287B" w:rsidP="0039287B">
      <w:pPr>
        <w:numPr>
          <w:ilvl w:val="1"/>
          <w:numId w:val="2"/>
        </w:num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The claimant purchased a 15kg bag intended for both legs of the journey. However, </w:t>
      </w:r>
      <w:r w:rsidRPr="0039287B">
        <w:rPr>
          <w:rFonts w:eastAsia="Times New Roman" w:cs="Times New Roman"/>
          <w:b/>
          <w:bCs/>
          <w:kern w:val="0"/>
          <w14:ligatures w14:val="none"/>
        </w:rPr>
        <w:t>Trip.com</w:t>
      </w:r>
      <w:r w:rsidRPr="0039287B">
        <w:rPr>
          <w:rFonts w:eastAsia="Times New Roman" w:cs="Times New Roman"/>
          <w:kern w:val="0"/>
          <w14:ligatures w14:val="none"/>
        </w:rPr>
        <w:t xml:space="preserve"> mistakenly categorized the bag </w:t>
      </w:r>
      <w:r w:rsidR="00BA55EA">
        <w:rPr>
          <w:rFonts w:eastAsia="Times New Roman" w:cs="Times New Roman"/>
          <w:kern w:val="0"/>
          <w14:ligatures w14:val="none"/>
        </w:rPr>
        <w:t>/ Suitcases and</w:t>
      </w:r>
      <w:r w:rsidRPr="0039287B">
        <w:rPr>
          <w:rFonts w:eastAsia="Times New Roman" w:cs="Times New Roman"/>
          <w:kern w:val="0"/>
          <w14:ligatures w14:val="none"/>
        </w:rPr>
        <w:t xml:space="preserve"> the </w:t>
      </w:r>
      <w:r w:rsidR="003516E0" w:rsidRPr="0039287B">
        <w:rPr>
          <w:rFonts w:eastAsia="Times New Roman" w:cs="Times New Roman"/>
          <w:b/>
          <w:bCs/>
          <w:kern w:val="0"/>
          <w:u w:val="single"/>
          <w14:ligatures w14:val="none"/>
        </w:rPr>
        <w:t>“Free Baggage Allowance”</w:t>
      </w:r>
      <w:r w:rsidR="003516E0" w:rsidRPr="0039287B">
        <w:rPr>
          <w:rFonts w:eastAsia="Times New Roman" w:cs="Times New Roman"/>
          <w:kern w:val="0"/>
          <w14:ligatures w14:val="none"/>
        </w:rPr>
        <w:t xml:space="preserve"> </w:t>
      </w:r>
      <w:r w:rsidRPr="0039287B">
        <w:rPr>
          <w:rFonts w:eastAsia="Times New Roman" w:cs="Times New Roman"/>
          <w:kern w:val="0"/>
          <w14:ligatures w14:val="none"/>
        </w:rPr>
        <w:t xml:space="preserve">section </w:t>
      </w:r>
      <w:r w:rsidR="00BA55EA">
        <w:rPr>
          <w:rFonts w:eastAsia="Times New Roman" w:cs="Times New Roman"/>
          <w:kern w:val="0"/>
          <w14:ligatures w14:val="none"/>
        </w:rPr>
        <w:t xml:space="preserve">mislead the bookings due to its own 15kg granted allowance, </w:t>
      </w:r>
      <w:r w:rsidRPr="0039287B">
        <w:rPr>
          <w:rFonts w:eastAsia="Times New Roman" w:cs="Times New Roman"/>
          <w:kern w:val="0"/>
          <w14:ligatures w14:val="none"/>
        </w:rPr>
        <w:t xml:space="preserve">instead of the </w:t>
      </w:r>
      <w:r w:rsidR="003516E0" w:rsidRPr="0039287B">
        <w:rPr>
          <w:rFonts w:eastAsia="Times New Roman" w:cs="Times New Roman"/>
          <w:b/>
          <w:bCs/>
          <w:kern w:val="0"/>
          <w:u w:val="single"/>
          <w14:ligatures w14:val="none"/>
        </w:rPr>
        <w:t xml:space="preserve">“Paid-For Baggage” </w:t>
      </w:r>
      <w:r w:rsidRPr="0039287B">
        <w:rPr>
          <w:rFonts w:eastAsia="Times New Roman" w:cs="Times New Roman"/>
          <w:kern w:val="0"/>
          <w14:ligatures w14:val="none"/>
        </w:rPr>
        <w:t>section</w:t>
      </w:r>
      <w:r w:rsidR="00BA55EA">
        <w:rPr>
          <w:rFonts w:eastAsia="Times New Roman" w:cs="Times New Roman"/>
          <w:kern w:val="0"/>
          <w14:ligatures w14:val="none"/>
        </w:rPr>
        <w:t xml:space="preserve"> admitting it correctly as it must</w:t>
      </w:r>
      <w:r w:rsidRPr="0039287B">
        <w:rPr>
          <w:rFonts w:eastAsia="Times New Roman" w:cs="Times New Roman"/>
          <w:kern w:val="0"/>
          <w14:ligatures w14:val="none"/>
        </w:rPr>
        <w:t xml:space="preserve">. This misclassification left </w:t>
      </w:r>
      <w:r w:rsidR="00BA55EA">
        <w:rPr>
          <w:rFonts w:eastAsia="Times New Roman" w:cs="Times New Roman"/>
          <w:kern w:val="0"/>
          <w14:ligatures w14:val="none"/>
        </w:rPr>
        <w:t xml:space="preserve">finding the issue impossible until </w:t>
      </w:r>
      <w:r w:rsidRPr="0039287B">
        <w:rPr>
          <w:rFonts w:eastAsia="Times New Roman" w:cs="Times New Roman"/>
          <w:kern w:val="0"/>
          <w14:ligatures w14:val="none"/>
        </w:rPr>
        <w:t xml:space="preserve">the return leg </w:t>
      </w:r>
      <w:r w:rsidR="00BA55EA">
        <w:rPr>
          <w:rFonts w:eastAsia="Times New Roman" w:cs="Times New Roman"/>
          <w:kern w:val="0"/>
          <w14:ligatures w14:val="none"/>
        </w:rPr>
        <w:t xml:space="preserve">allowed for the situation to be </w:t>
      </w:r>
      <w:r w:rsidRPr="0039287B">
        <w:rPr>
          <w:rFonts w:eastAsia="Times New Roman" w:cs="Times New Roman"/>
          <w:kern w:val="0"/>
          <w14:ligatures w14:val="none"/>
        </w:rPr>
        <w:t>documented</w:t>
      </w:r>
      <w:r w:rsidR="00BA55EA">
        <w:rPr>
          <w:rFonts w:eastAsia="Times New Roman" w:cs="Times New Roman"/>
          <w:kern w:val="0"/>
          <w14:ligatures w14:val="none"/>
        </w:rPr>
        <w:t xml:space="preserve"> and analyzed, allowing us to rectify the needed </w:t>
      </w:r>
      <w:r w:rsidRPr="0039287B">
        <w:rPr>
          <w:rFonts w:eastAsia="Times New Roman" w:cs="Times New Roman"/>
          <w:kern w:val="0"/>
          <w14:ligatures w14:val="none"/>
        </w:rPr>
        <w:t xml:space="preserve"> charges </w:t>
      </w:r>
      <w:r w:rsidR="00BA55EA">
        <w:rPr>
          <w:rFonts w:eastAsia="Times New Roman" w:cs="Times New Roman"/>
          <w:kern w:val="0"/>
          <w14:ligatures w14:val="none"/>
        </w:rPr>
        <w:t xml:space="preserve">to be adhered towards </w:t>
      </w:r>
      <w:r w:rsidRPr="0039287B">
        <w:rPr>
          <w:rFonts w:eastAsia="Times New Roman" w:cs="Times New Roman"/>
          <w:kern w:val="0"/>
          <w14:ligatures w14:val="none"/>
        </w:rPr>
        <w:t xml:space="preserve">for what </w:t>
      </w:r>
      <w:r w:rsidR="00BA55EA">
        <w:rPr>
          <w:rFonts w:eastAsia="Times New Roman" w:cs="Times New Roman"/>
          <w:kern w:val="0"/>
          <w14:ligatures w14:val="none"/>
        </w:rPr>
        <w:t xml:space="preserve">has gone wrong. </w:t>
      </w:r>
    </w:p>
    <w:p w14:paraId="73D49CDC" w14:textId="77777777" w:rsidR="0039287B" w:rsidRPr="0039287B" w:rsidRDefault="0039287B" w:rsidP="0039287B">
      <w:pPr>
        <w:spacing w:after="0" w:line="360" w:lineRule="auto"/>
        <w:ind w:left="1440"/>
        <w:rPr>
          <w:rFonts w:eastAsia="Times New Roman" w:cs="Times New Roman"/>
          <w:kern w:val="0"/>
          <w14:ligatures w14:val="none"/>
        </w:rPr>
      </w:pPr>
    </w:p>
    <w:p w14:paraId="5D4311A1" w14:textId="77777777" w:rsidR="0039287B" w:rsidRPr="0039287B" w:rsidRDefault="0039287B" w:rsidP="0039287B">
      <w:pPr>
        <w:numPr>
          <w:ilvl w:val="0"/>
          <w:numId w:val="2"/>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Website’s Misleading Layout</w:t>
      </w:r>
      <w:r w:rsidRPr="0039287B">
        <w:rPr>
          <w:rFonts w:eastAsia="Times New Roman" w:cs="Times New Roman"/>
          <w:b/>
          <w:bCs/>
          <w:kern w:val="0"/>
          <w14:ligatures w14:val="none"/>
        </w:rPr>
        <w:t>:</w:t>
      </w:r>
    </w:p>
    <w:p w14:paraId="6EDAD887" w14:textId="77777777" w:rsidR="00F31EE1" w:rsidRDefault="0039287B" w:rsidP="0039287B">
      <w:pPr>
        <w:numPr>
          <w:ilvl w:val="1"/>
          <w:numId w:val="2"/>
        </w:numPr>
        <w:spacing w:after="0" w:line="360" w:lineRule="auto"/>
        <w:rPr>
          <w:rFonts w:eastAsia="Times New Roman" w:cs="Times New Roman"/>
          <w:kern w:val="0"/>
          <w14:ligatures w14:val="none"/>
        </w:rPr>
      </w:pPr>
      <w:r w:rsidRPr="0039287B">
        <w:rPr>
          <w:rFonts w:eastAsia="Times New Roman" w:cs="Times New Roman"/>
          <w:b/>
          <w:bCs/>
          <w:kern w:val="0"/>
          <w14:ligatures w14:val="none"/>
        </w:rPr>
        <w:t>Trip.com</w:t>
      </w:r>
      <w:r w:rsidRPr="0039287B">
        <w:rPr>
          <w:rFonts w:eastAsia="Times New Roman" w:cs="Times New Roman"/>
          <w:kern w:val="0"/>
          <w14:ligatures w14:val="none"/>
        </w:rPr>
        <w:t xml:space="preserve"> </w:t>
      </w:r>
      <w:r w:rsidR="00BA55EA">
        <w:rPr>
          <w:rFonts w:eastAsia="Times New Roman" w:cs="Times New Roman"/>
          <w:kern w:val="0"/>
          <w14:ligatures w14:val="none"/>
        </w:rPr>
        <w:t xml:space="preserve">diction to </w:t>
      </w:r>
      <w:r w:rsidRPr="0039287B">
        <w:rPr>
          <w:rFonts w:eastAsia="Times New Roman" w:cs="Times New Roman"/>
          <w:kern w:val="0"/>
          <w14:ligatures w14:val="none"/>
        </w:rPr>
        <w:t xml:space="preserve">divided </w:t>
      </w:r>
      <w:r w:rsidR="00BA55EA">
        <w:rPr>
          <w:rFonts w:eastAsia="Times New Roman" w:cs="Times New Roman"/>
          <w:kern w:val="0"/>
          <w14:ligatures w14:val="none"/>
        </w:rPr>
        <w:t xml:space="preserve">the </w:t>
      </w:r>
      <w:r w:rsidR="003516E0" w:rsidRPr="0039287B">
        <w:rPr>
          <w:rFonts w:eastAsia="Times New Roman" w:cs="Times New Roman"/>
          <w:b/>
          <w:bCs/>
          <w:kern w:val="0"/>
          <w:u w:val="single"/>
          <w14:ligatures w14:val="none"/>
        </w:rPr>
        <w:t>"Free"</w:t>
      </w:r>
      <w:r w:rsidR="003516E0" w:rsidRPr="0039287B">
        <w:rPr>
          <w:rFonts w:eastAsia="Times New Roman" w:cs="Times New Roman"/>
          <w:kern w:val="0"/>
          <w14:ligatures w14:val="none"/>
        </w:rPr>
        <w:t xml:space="preserve"> </w:t>
      </w:r>
      <w:r w:rsidRPr="0039287B">
        <w:rPr>
          <w:rFonts w:eastAsia="Times New Roman" w:cs="Times New Roman"/>
          <w:kern w:val="0"/>
          <w14:ligatures w14:val="none"/>
        </w:rPr>
        <w:t xml:space="preserve">and </w:t>
      </w:r>
      <w:r w:rsidR="003516E0" w:rsidRPr="0039287B">
        <w:rPr>
          <w:rFonts w:eastAsia="Times New Roman" w:cs="Times New Roman"/>
          <w:b/>
          <w:bCs/>
          <w:kern w:val="0"/>
          <w:u w:val="single"/>
          <w14:ligatures w14:val="none"/>
        </w:rPr>
        <w:t>"Paid-For"</w:t>
      </w:r>
      <w:r w:rsidR="003516E0" w:rsidRPr="0039287B">
        <w:rPr>
          <w:rFonts w:eastAsia="Times New Roman" w:cs="Times New Roman"/>
          <w:kern w:val="0"/>
          <w14:ligatures w14:val="none"/>
        </w:rPr>
        <w:t xml:space="preserve"> </w:t>
      </w:r>
      <w:r w:rsidRPr="0039287B">
        <w:rPr>
          <w:rFonts w:eastAsia="Times New Roman" w:cs="Times New Roman"/>
          <w:kern w:val="0"/>
          <w14:ligatures w14:val="none"/>
        </w:rPr>
        <w:t xml:space="preserve">baggage </w:t>
      </w:r>
      <w:r w:rsidR="00BA55EA">
        <w:rPr>
          <w:rFonts w:eastAsia="Times New Roman" w:cs="Times New Roman"/>
          <w:kern w:val="0"/>
          <w14:ligatures w14:val="none"/>
        </w:rPr>
        <w:t xml:space="preserve">sections </w:t>
      </w:r>
      <w:r w:rsidRPr="0039287B">
        <w:rPr>
          <w:rFonts w:eastAsia="Times New Roman" w:cs="Times New Roman"/>
          <w:kern w:val="0"/>
          <w14:ligatures w14:val="none"/>
        </w:rPr>
        <w:t>into separate sections on the booking page</w:t>
      </w:r>
      <w:r w:rsidR="00F31EE1">
        <w:rPr>
          <w:rFonts w:eastAsia="Times New Roman" w:cs="Times New Roman"/>
          <w:kern w:val="0"/>
          <w14:ligatures w14:val="none"/>
        </w:rPr>
        <w:t xml:space="preserve"> and in totally different places without explanation is unfair and causes this claim to exist</w:t>
      </w:r>
      <w:r w:rsidRPr="0039287B">
        <w:rPr>
          <w:rFonts w:eastAsia="Times New Roman" w:cs="Times New Roman"/>
          <w:kern w:val="0"/>
          <w14:ligatures w14:val="none"/>
        </w:rPr>
        <w:t xml:space="preserve">. </w:t>
      </w:r>
    </w:p>
    <w:p w14:paraId="1BF6E2A2" w14:textId="77777777" w:rsidR="0039287B" w:rsidRPr="0039287B" w:rsidRDefault="0039287B" w:rsidP="0039287B">
      <w:pPr>
        <w:spacing w:after="0" w:line="360" w:lineRule="auto"/>
        <w:ind w:left="1440"/>
        <w:rPr>
          <w:rFonts w:eastAsia="Times New Roman" w:cs="Times New Roman"/>
          <w:kern w:val="0"/>
          <w14:ligatures w14:val="none"/>
        </w:rPr>
      </w:pPr>
    </w:p>
    <w:p w14:paraId="64408C00" w14:textId="77777777" w:rsidR="0039287B" w:rsidRPr="0039287B" w:rsidRDefault="0039287B" w:rsidP="0039287B">
      <w:pPr>
        <w:numPr>
          <w:ilvl w:val="0"/>
          <w:numId w:val="2"/>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Contradictory Information Provided at Gatwick</w:t>
      </w:r>
      <w:r w:rsidRPr="0039287B">
        <w:rPr>
          <w:rFonts w:eastAsia="Times New Roman" w:cs="Times New Roman"/>
          <w:b/>
          <w:bCs/>
          <w:kern w:val="0"/>
          <w14:ligatures w14:val="none"/>
        </w:rPr>
        <w:t>:</w:t>
      </w:r>
    </w:p>
    <w:p w14:paraId="1B47C6C6" w14:textId="77777777" w:rsidR="0039287B" w:rsidRDefault="0039287B" w:rsidP="0039287B">
      <w:pPr>
        <w:numPr>
          <w:ilvl w:val="1"/>
          <w:numId w:val="2"/>
        </w:numPr>
        <w:spacing w:after="0" w:line="360" w:lineRule="auto"/>
        <w:rPr>
          <w:rFonts w:eastAsia="Times New Roman" w:cs="Times New Roman"/>
          <w:kern w:val="0"/>
          <w14:ligatures w14:val="none"/>
        </w:rPr>
      </w:pPr>
      <w:r w:rsidRPr="0039287B">
        <w:rPr>
          <w:rFonts w:eastAsia="Times New Roman" w:cs="Times New Roman"/>
          <w:kern w:val="0"/>
          <w14:ligatures w14:val="none"/>
        </w:rPr>
        <w:t>EasyJet’s supervisor explicitly assured the claimant that the baggage had been fully registered, including for the return journey. This assurance proved false when SunExpress demanded additional fees for the same baggage at Antalya, directly contradicting EasyJet's statement.</w:t>
      </w:r>
    </w:p>
    <w:p w14:paraId="4BE5913B" w14:textId="77777777" w:rsidR="0039287B" w:rsidRPr="0039287B" w:rsidRDefault="0039287B" w:rsidP="0039287B">
      <w:pPr>
        <w:spacing w:after="0" w:line="360" w:lineRule="auto"/>
        <w:ind w:left="1440"/>
        <w:rPr>
          <w:rFonts w:eastAsia="Times New Roman" w:cs="Times New Roman"/>
          <w:kern w:val="0"/>
          <w14:ligatures w14:val="none"/>
        </w:rPr>
      </w:pPr>
    </w:p>
    <w:p w14:paraId="2BA16D8D" w14:textId="77777777" w:rsidR="0039287B" w:rsidRPr="0039287B" w:rsidRDefault="0039287B" w:rsidP="0039287B">
      <w:pPr>
        <w:numPr>
          <w:ilvl w:val="0"/>
          <w:numId w:val="2"/>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Liability of SunExpress Staff</w:t>
      </w:r>
      <w:r w:rsidRPr="0039287B">
        <w:rPr>
          <w:rFonts w:eastAsia="Times New Roman" w:cs="Times New Roman"/>
          <w:b/>
          <w:bCs/>
          <w:kern w:val="0"/>
          <w14:ligatures w14:val="none"/>
        </w:rPr>
        <w:t>:</w:t>
      </w:r>
    </w:p>
    <w:p w14:paraId="6D900955" w14:textId="3C436480" w:rsidR="0039287B" w:rsidRPr="00F31EE1" w:rsidRDefault="00F31EE1" w:rsidP="00F31EE1">
      <w:pPr>
        <w:pStyle w:val="ListParagraph"/>
        <w:numPr>
          <w:ilvl w:val="0"/>
          <w:numId w:val="4"/>
        </w:numPr>
        <w:spacing w:after="0" w:line="360" w:lineRule="auto"/>
        <w:rPr>
          <w:rFonts w:eastAsia="Times New Roman" w:cs="Times New Roman"/>
          <w:kern w:val="0"/>
          <w14:ligatures w14:val="none"/>
        </w:rPr>
      </w:pPr>
      <w:r w:rsidRPr="00F31EE1">
        <w:rPr>
          <w:rFonts w:eastAsia="Times New Roman" w:cs="Times New Roman"/>
          <w:kern w:val="0"/>
          <w14:ligatures w14:val="none"/>
        </w:rPr>
        <w:t xml:space="preserve">At Antalya Airport, the SunExpress staff provided incorrect information to the claimant by presenting plastic cards and policies that were inconsistent with their own carry-on rules. They disregarded the evidence submitted by the claimant, misclassified small suitcases, and failed to acknowledge this, while still charging the claimant for a larger 15kg bag and </w:t>
      </w:r>
      <w:r w:rsidRPr="00F31EE1">
        <w:rPr>
          <w:rFonts w:eastAsia="Times New Roman" w:cs="Times New Roman"/>
          <w:kern w:val="0"/>
          <w14:ligatures w14:val="none"/>
        </w:rPr>
        <w:t>added</w:t>
      </w:r>
      <w:r w:rsidRPr="00F31EE1">
        <w:rPr>
          <w:rFonts w:eastAsia="Times New Roman" w:cs="Times New Roman"/>
          <w:kern w:val="0"/>
          <w14:ligatures w14:val="none"/>
        </w:rPr>
        <w:t xml:space="preserve"> the two small suitcases as unpaid luggage.</w:t>
      </w:r>
    </w:p>
    <w:p w14:paraId="0B1B5407" w14:textId="77777777" w:rsidR="00F31EE1" w:rsidRPr="0039287B" w:rsidRDefault="00F31EE1" w:rsidP="0039287B">
      <w:pPr>
        <w:spacing w:after="0" w:line="360" w:lineRule="auto"/>
        <w:ind w:left="1440"/>
        <w:rPr>
          <w:rFonts w:eastAsia="Times New Roman" w:cs="Times New Roman"/>
          <w:kern w:val="0"/>
          <w14:ligatures w14:val="none"/>
        </w:rPr>
      </w:pPr>
    </w:p>
    <w:p w14:paraId="42378EA0" w14:textId="77777777" w:rsidR="0039287B" w:rsidRPr="0039287B" w:rsidRDefault="0039287B" w:rsidP="0039287B">
      <w:pPr>
        <w:numPr>
          <w:ilvl w:val="0"/>
          <w:numId w:val="2"/>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Unavoidable Financial Impact</w:t>
      </w:r>
      <w:r w:rsidRPr="0039287B">
        <w:rPr>
          <w:rFonts w:eastAsia="Times New Roman" w:cs="Times New Roman"/>
          <w:b/>
          <w:bCs/>
          <w:kern w:val="0"/>
          <w14:ligatures w14:val="none"/>
        </w:rPr>
        <w:t>:</w:t>
      </w:r>
    </w:p>
    <w:p w14:paraId="686765C4" w14:textId="102AAF2D" w:rsidR="0039287B" w:rsidRDefault="0039287B" w:rsidP="0039287B">
      <w:pPr>
        <w:numPr>
          <w:ilvl w:val="1"/>
          <w:numId w:val="2"/>
        </w:num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The claimant was forced to pay </w:t>
      </w:r>
      <w:r w:rsidRPr="0039287B">
        <w:rPr>
          <w:rFonts w:eastAsia="Times New Roman" w:cs="Times New Roman"/>
          <w:b/>
          <w:bCs/>
          <w:kern w:val="0"/>
          <w14:ligatures w14:val="none"/>
        </w:rPr>
        <w:t>£69.63</w:t>
      </w:r>
      <w:r w:rsidRPr="0039287B">
        <w:rPr>
          <w:rFonts w:eastAsia="Times New Roman" w:cs="Times New Roman"/>
          <w:kern w:val="0"/>
          <w14:ligatures w14:val="none"/>
        </w:rPr>
        <w:t xml:space="preserve"> to resolve the issue at Antalya</w:t>
      </w:r>
      <w:r w:rsidR="00F31EE1">
        <w:rPr>
          <w:rFonts w:eastAsia="Times New Roman" w:cs="Times New Roman"/>
          <w:kern w:val="0"/>
          <w14:ligatures w14:val="none"/>
        </w:rPr>
        <w:t xml:space="preserve"> Airport and told to take it up with Trip.com later</w:t>
      </w:r>
      <w:r w:rsidRPr="0039287B">
        <w:rPr>
          <w:rFonts w:eastAsia="Times New Roman" w:cs="Times New Roman"/>
          <w:kern w:val="0"/>
          <w14:ligatures w14:val="none"/>
        </w:rPr>
        <w:t>, despite presenting all necessary receipts and evidence of prior payment</w:t>
      </w:r>
      <w:r w:rsidR="00F31EE1">
        <w:rPr>
          <w:rFonts w:eastAsia="Times New Roman" w:cs="Times New Roman"/>
          <w:kern w:val="0"/>
          <w14:ligatures w14:val="none"/>
        </w:rPr>
        <w:t>s</w:t>
      </w:r>
      <w:r w:rsidRPr="0039287B">
        <w:rPr>
          <w:rFonts w:eastAsia="Times New Roman" w:cs="Times New Roman"/>
          <w:kern w:val="0"/>
          <w14:ligatures w14:val="none"/>
        </w:rPr>
        <w:t xml:space="preserve">. This fee should have been unnecessary had </w:t>
      </w:r>
      <w:r w:rsidRPr="0039287B">
        <w:rPr>
          <w:rFonts w:eastAsia="Times New Roman" w:cs="Times New Roman"/>
          <w:b/>
          <w:bCs/>
          <w:kern w:val="0"/>
          <w14:ligatures w14:val="none"/>
        </w:rPr>
        <w:t>Trip.com</w:t>
      </w:r>
      <w:r w:rsidRPr="0039287B">
        <w:rPr>
          <w:rFonts w:eastAsia="Times New Roman" w:cs="Times New Roman"/>
          <w:kern w:val="0"/>
          <w14:ligatures w14:val="none"/>
        </w:rPr>
        <w:t xml:space="preserve"> and the airlines properly coordinated their policies and communication.</w:t>
      </w:r>
    </w:p>
    <w:p w14:paraId="54AD456B" w14:textId="77777777" w:rsidR="0039287B" w:rsidRPr="0039287B" w:rsidRDefault="0039287B" w:rsidP="0039287B">
      <w:pPr>
        <w:spacing w:after="0" w:line="360" w:lineRule="auto"/>
        <w:ind w:left="1440"/>
        <w:rPr>
          <w:rFonts w:eastAsia="Times New Roman" w:cs="Times New Roman"/>
          <w:kern w:val="0"/>
          <w14:ligatures w14:val="none"/>
        </w:rPr>
      </w:pPr>
    </w:p>
    <w:p w14:paraId="61B801A5" w14:textId="77777777" w:rsidR="0039287B" w:rsidRPr="0039287B" w:rsidRDefault="0039287B" w:rsidP="0039287B">
      <w:pPr>
        <w:numPr>
          <w:ilvl w:val="0"/>
          <w:numId w:val="2"/>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Systematic Failure in Communication and Booking Management</w:t>
      </w:r>
      <w:r w:rsidRPr="0039287B">
        <w:rPr>
          <w:rFonts w:eastAsia="Times New Roman" w:cs="Times New Roman"/>
          <w:b/>
          <w:bCs/>
          <w:kern w:val="0"/>
          <w14:ligatures w14:val="none"/>
        </w:rPr>
        <w:t>:</w:t>
      </w:r>
    </w:p>
    <w:p w14:paraId="6B23F0EE" w14:textId="77777777" w:rsidR="0039287B" w:rsidRPr="0039287B" w:rsidRDefault="0039287B" w:rsidP="0039287B">
      <w:pPr>
        <w:numPr>
          <w:ilvl w:val="1"/>
          <w:numId w:val="2"/>
        </w:numPr>
        <w:spacing w:after="0" w:line="360" w:lineRule="auto"/>
        <w:rPr>
          <w:rFonts w:eastAsia="Times New Roman" w:cs="Times New Roman"/>
          <w:kern w:val="0"/>
          <w14:ligatures w14:val="none"/>
        </w:rPr>
      </w:pPr>
      <w:r w:rsidRPr="0039287B">
        <w:rPr>
          <w:rFonts w:eastAsia="Times New Roman" w:cs="Times New Roman"/>
          <w:b/>
          <w:bCs/>
          <w:kern w:val="0"/>
          <w14:ligatures w14:val="none"/>
        </w:rPr>
        <w:t>Trip.com’s</w:t>
      </w:r>
      <w:r w:rsidRPr="0039287B">
        <w:rPr>
          <w:rFonts w:eastAsia="Times New Roman" w:cs="Times New Roman"/>
          <w:kern w:val="0"/>
          <w14:ligatures w14:val="none"/>
        </w:rPr>
        <w:t xml:space="preserve"> platform failed to classify the paid baggage allowance correctly, while the airlines did not verify or update the booking details, causing significant disruptions. This highlights a broader issue of mismanagement and lack of service quality across the entities involved.</w:t>
      </w:r>
    </w:p>
    <w:p w14:paraId="7351550A" w14:textId="77777777" w:rsidR="0039287B" w:rsidRDefault="0039287B" w:rsidP="0039287B">
      <w:pPr>
        <w:rPr>
          <w:b/>
          <w:bCs/>
          <w:u w:val="single"/>
        </w:rPr>
      </w:pPr>
    </w:p>
    <w:p w14:paraId="5CDEBA11" w14:textId="20C2FC2F" w:rsidR="0039287B" w:rsidRPr="0039287B" w:rsidRDefault="0039287B" w:rsidP="0039287B">
      <w:pPr>
        <w:rPr>
          <w:b/>
          <w:bCs/>
          <w:u w:val="single"/>
        </w:rPr>
      </w:pPr>
      <w:r w:rsidRPr="0039287B">
        <w:rPr>
          <w:b/>
          <w:bCs/>
          <w:u w:val="single"/>
        </w:rPr>
        <w:t>Financial and Logistical Impact</w:t>
      </w:r>
    </w:p>
    <w:p w14:paraId="679515AF" w14:textId="77777777" w:rsidR="0039287B" w:rsidRPr="0039287B" w:rsidRDefault="0039287B" w:rsidP="0039287B">
      <w:pPr>
        <w:numPr>
          <w:ilvl w:val="0"/>
          <w:numId w:val="3"/>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Unnecessary Baggage Fee</w:t>
      </w:r>
      <w:r w:rsidRPr="0039287B">
        <w:rPr>
          <w:rFonts w:eastAsia="Times New Roman" w:cs="Times New Roman"/>
          <w:b/>
          <w:bCs/>
          <w:kern w:val="0"/>
          <w14:ligatures w14:val="none"/>
        </w:rPr>
        <w:t>:</w:t>
      </w:r>
      <w:r w:rsidRPr="0039287B">
        <w:rPr>
          <w:rFonts w:eastAsia="Times New Roman" w:cs="Times New Roman"/>
          <w:kern w:val="0"/>
          <w14:ligatures w14:val="none"/>
        </w:rPr>
        <w:t xml:space="preserve"> </w:t>
      </w:r>
      <w:r w:rsidRPr="0039287B">
        <w:rPr>
          <w:rFonts w:eastAsia="Times New Roman" w:cs="Times New Roman"/>
          <w:b/>
          <w:bCs/>
          <w:kern w:val="0"/>
          <w14:ligatures w14:val="none"/>
        </w:rPr>
        <w:t>£69.63</w:t>
      </w:r>
      <w:r w:rsidRPr="0039287B">
        <w:rPr>
          <w:rFonts w:eastAsia="Times New Roman" w:cs="Times New Roman"/>
          <w:kern w:val="0"/>
          <w14:ligatures w14:val="none"/>
        </w:rPr>
        <w:t xml:space="preserve"> at Antalya Airport </w:t>
      </w:r>
      <w:r w:rsidRPr="0039287B">
        <w:rPr>
          <w:rFonts w:eastAsia="Times New Roman" w:cs="Times New Roman"/>
          <w:b/>
          <w:bCs/>
          <w:kern w:val="0"/>
          <w14:ligatures w14:val="none"/>
        </w:rPr>
        <w:t>(Exhibit J).</w:t>
      </w:r>
    </w:p>
    <w:p w14:paraId="5D6DCFE9" w14:textId="77777777" w:rsidR="0039287B" w:rsidRPr="0039287B" w:rsidRDefault="0039287B" w:rsidP="0039287B">
      <w:pPr>
        <w:numPr>
          <w:ilvl w:val="0"/>
          <w:numId w:val="3"/>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Stress and Confusion</w:t>
      </w:r>
      <w:r w:rsidRPr="0039287B">
        <w:rPr>
          <w:rFonts w:eastAsia="Times New Roman" w:cs="Times New Roman"/>
          <w:b/>
          <w:bCs/>
          <w:kern w:val="0"/>
          <w14:ligatures w14:val="none"/>
        </w:rPr>
        <w:t>:</w:t>
      </w:r>
      <w:r w:rsidRPr="0039287B">
        <w:rPr>
          <w:rFonts w:eastAsia="Times New Roman" w:cs="Times New Roman"/>
          <w:kern w:val="0"/>
          <w14:ligatures w14:val="none"/>
        </w:rPr>
        <w:t xml:space="preserve"> Caused by the conflicting policies and lack of effective resolution from </w:t>
      </w:r>
      <w:r w:rsidRPr="0039287B">
        <w:rPr>
          <w:rFonts w:eastAsia="Times New Roman" w:cs="Times New Roman"/>
          <w:b/>
          <w:bCs/>
          <w:kern w:val="0"/>
          <w14:ligatures w14:val="none"/>
        </w:rPr>
        <w:t>Trip.com</w:t>
      </w:r>
      <w:r w:rsidRPr="0039287B">
        <w:rPr>
          <w:rFonts w:eastAsia="Times New Roman" w:cs="Times New Roman"/>
          <w:kern w:val="0"/>
          <w14:ligatures w14:val="none"/>
        </w:rPr>
        <w:t xml:space="preserve"> and SunExpress staff.</w:t>
      </w:r>
    </w:p>
    <w:p w14:paraId="58CE08B7" w14:textId="77777777" w:rsidR="0039287B" w:rsidRPr="0039287B" w:rsidRDefault="0039287B" w:rsidP="0039287B">
      <w:pPr>
        <w:numPr>
          <w:ilvl w:val="0"/>
          <w:numId w:val="3"/>
        </w:numPr>
        <w:spacing w:after="0" w:line="360" w:lineRule="auto"/>
        <w:rPr>
          <w:rFonts w:eastAsia="Times New Roman" w:cs="Times New Roman"/>
          <w:kern w:val="0"/>
          <w14:ligatures w14:val="none"/>
        </w:rPr>
      </w:pPr>
      <w:r w:rsidRPr="0039287B">
        <w:rPr>
          <w:rFonts w:eastAsia="Times New Roman" w:cs="Times New Roman"/>
          <w:b/>
          <w:bCs/>
          <w:kern w:val="0"/>
          <w:u w:val="single"/>
          <w14:ligatures w14:val="none"/>
        </w:rPr>
        <w:t>Additional Burden</w:t>
      </w:r>
      <w:r w:rsidRPr="0039287B">
        <w:rPr>
          <w:rFonts w:eastAsia="Times New Roman" w:cs="Times New Roman"/>
          <w:b/>
          <w:bCs/>
          <w:kern w:val="0"/>
          <w14:ligatures w14:val="none"/>
        </w:rPr>
        <w:t>:</w:t>
      </w:r>
      <w:r w:rsidRPr="0039287B">
        <w:rPr>
          <w:rFonts w:eastAsia="Times New Roman" w:cs="Times New Roman"/>
          <w:kern w:val="0"/>
          <w14:ligatures w14:val="none"/>
        </w:rPr>
        <w:t xml:space="preserve"> The claimant’s travel experience was worsened by poor coordination between EasyJet and SunExpress, with the issue rooted in </w:t>
      </w:r>
      <w:r w:rsidRPr="0039287B">
        <w:rPr>
          <w:rFonts w:eastAsia="Times New Roman" w:cs="Times New Roman"/>
          <w:b/>
          <w:bCs/>
          <w:kern w:val="0"/>
          <w14:ligatures w14:val="none"/>
        </w:rPr>
        <w:t>Trip.com’s</w:t>
      </w:r>
      <w:r w:rsidRPr="0039287B">
        <w:rPr>
          <w:rFonts w:eastAsia="Times New Roman" w:cs="Times New Roman"/>
          <w:kern w:val="0"/>
          <w14:ligatures w14:val="none"/>
        </w:rPr>
        <w:t xml:space="preserve"> platform errors.</w:t>
      </w:r>
    </w:p>
    <w:p w14:paraId="733143F9" w14:textId="77777777" w:rsidR="0039287B" w:rsidRPr="0039287B" w:rsidRDefault="0039287B" w:rsidP="0039287B">
      <w:pPr>
        <w:spacing w:after="0" w:line="360" w:lineRule="auto"/>
        <w:rPr>
          <w:rFonts w:eastAsia="Times New Roman" w:cs="Times New Roman"/>
          <w:kern w:val="0"/>
          <w14:ligatures w14:val="none"/>
        </w:rPr>
      </w:pPr>
      <w:r w:rsidRPr="0039287B">
        <w:rPr>
          <w:rFonts w:eastAsia="Times New Roman" w:cs="Times New Roman"/>
          <w:kern w:val="0"/>
          <w14:ligatures w14:val="none"/>
        </w:rPr>
        <w:t xml:space="preserve">This enhanced summary emphasizes the liabilities involved and clearly explains what transpired, ensuring it can be easily understood even when referenced independently of the main claim. </w:t>
      </w:r>
    </w:p>
    <w:p w14:paraId="05426B46" w14:textId="77777777" w:rsidR="0039287B" w:rsidRDefault="0039287B" w:rsidP="00785756">
      <w:pPr>
        <w:rPr>
          <w:b/>
          <w:bCs/>
          <w:u w:val="single"/>
        </w:rPr>
      </w:pPr>
    </w:p>
    <w:p w14:paraId="2BFD7E24" w14:textId="77777777" w:rsidR="00BD17F7" w:rsidRPr="00785756" w:rsidRDefault="00BD17F7" w:rsidP="00785756">
      <w:pPr>
        <w:spacing w:after="0" w:line="276" w:lineRule="auto"/>
        <w:rPr>
          <w:rFonts w:cs="Times New Roman"/>
        </w:rPr>
      </w:pPr>
    </w:p>
    <w:p w14:paraId="6853FA76" w14:textId="77777777" w:rsidR="0039287B" w:rsidRPr="00785756" w:rsidRDefault="0039287B">
      <w:pPr>
        <w:spacing w:after="0" w:line="276" w:lineRule="auto"/>
        <w:rPr>
          <w:rFonts w:cs="Times New Roman"/>
        </w:rPr>
      </w:pPr>
    </w:p>
    <w:sectPr w:rsidR="0039287B" w:rsidRPr="007857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3BFE"/>
    <w:multiLevelType w:val="multilevel"/>
    <w:tmpl w:val="7556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A0567C"/>
    <w:multiLevelType w:val="multilevel"/>
    <w:tmpl w:val="EAB23D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185641"/>
    <w:multiLevelType w:val="multilevel"/>
    <w:tmpl w:val="7BF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17610"/>
    <w:multiLevelType w:val="hybridMultilevel"/>
    <w:tmpl w:val="172A1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9477236">
    <w:abstractNumId w:val="0"/>
  </w:num>
  <w:num w:numId="2" w16cid:durableId="3821118">
    <w:abstractNumId w:val="1"/>
  </w:num>
  <w:num w:numId="3" w16cid:durableId="1805274878">
    <w:abstractNumId w:val="2"/>
  </w:num>
  <w:num w:numId="4" w16cid:durableId="1034230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F7"/>
    <w:rsid w:val="001A3A72"/>
    <w:rsid w:val="003516E0"/>
    <w:rsid w:val="0039287B"/>
    <w:rsid w:val="003E7112"/>
    <w:rsid w:val="00510E8A"/>
    <w:rsid w:val="00785756"/>
    <w:rsid w:val="00896D9D"/>
    <w:rsid w:val="00AD5231"/>
    <w:rsid w:val="00BA55EA"/>
    <w:rsid w:val="00BD17F7"/>
    <w:rsid w:val="00F3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FAFC"/>
  <w15:chartTrackingRefBased/>
  <w15:docId w15:val="{AF10C823-819A-4C3E-AB61-3E34FA94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756"/>
    <w:rPr>
      <w:rFonts w:ascii="Times New Roman" w:hAnsi="Times New Roman"/>
    </w:rPr>
  </w:style>
  <w:style w:type="paragraph" w:styleId="Heading1">
    <w:name w:val="heading 1"/>
    <w:basedOn w:val="Normal"/>
    <w:next w:val="Normal"/>
    <w:link w:val="Heading1Char"/>
    <w:uiPriority w:val="9"/>
    <w:qFormat/>
    <w:rsid w:val="00BD1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7F7"/>
    <w:rPr>
      <w:rFonts w:eastAsiaTheme="majorEastAsia" w:cstheme="majorBidi"/>
      <w:color w:val="272727" w:themeColor="text1" w:themeTint="D8"/>
    </w:rPr>
  </w:style>
  <w:style w:type="paragraph" w:styleId="Title">
    <w:name w:val="Title"/>
    <w:basedOn w:val="Normal"/>
    <w:next w:val="Normal"/>
    <w:link w:val="TitleChar"/>
    <w:uiPriority w:val="10"/>
    <w:qFormat/>
    <w:rsid w:val="00BD1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7F7"/>
    <w:pPr>
      <w:spacing w:before="160"/>
      <w:jc w:val="center"/>
    </w:pPr>
    <w:rPr>
      <w:i/>
      <w:iCs/>
      <w:color w:val="404040" w:themeColor="text1" w:themeTint="BF"/>
    </w:rPr>
  </w:style>
  <w:style w:type="character" w:customStyle="1" w:styleId="QuoteChar">
    <w:name w:val="Quote Char"/>
    <w:basedOn w:val="DefaultParagraphFont"/>
    <w:link w:val="Quote"/>
    <w:uiPriority w:val="29"/>
    <w:rsid w:val="00BD17F7"/>
    <w:rPr>
      <w:i/>
      <w:iCs/>
      <w:color w:val="404040" w:themeColor="text1" w:themeTint="BF"/>
    </w:rPr>
  </w:style>
  <w:style w:type="paragraph" w:styleId="ListParagraph">
    <w:name w:val="List Paragraph"/>
    <w:basedOn w:val="Normal"/>
    <w:uiPriority w:val="34"/>
    <w:qFormat/>
    <w:rsid w:val="00BD17F7"/>
    <w:pPr>
      <w:ind w:left="720"/>
      <w:contextualSpacing/>
    </w:pPr>
  </w:style>
  <w:style w:type="character" w:styleId="IntenseEmphasis">
    <w:name w:val="Intense Emphasis"/>
    <w:basedOn w:val="DefaultParagraphFont"/>
    <w:uiPriority w:val="21"/>
    <w:qFormat/>
    <w:rsid w:val="00BD17F7"/>
    <w:rPr>
      <w:i/>
      <w:iCs/>
      <w:color w:val="0F4761" w:themeColor="accent1" w:themeShade="BF"/>
    </w:rPr>
  </w:style>
  <w:style w:type="paragraph" w:styleId="IntenseQuote">
    <w:name w:val="Intense Quote"/>
    <w:basedOn w:val="Normal"/>
    <w:next w:val="Normal"/>
    <w:link w:val="IntenseQuoteChar"/>
    <w:uiPriority w:val="30"/>
    <w:qFormat/>
    <w:rsid w:val="00BD1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7F7"/>
    <w:rPr>
      <w:i/>
      <w:iCs/>
      <w:color w:val="0F4761" w:themeColor="accent1" w:themeShade="BF"/>
    </w:rPr>
  </w:style>
  <w:style w:type="character" w:styleId="IntenseReference">
    <w:name w:val="Intense Reference"/>
    <w:basedOn w:val="DefaultParagraphFont"/>
    <w:uiPriority w:val="32"/>
    <w:qFormat/>
    <w:rsid w:val="00BD17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7746">
      <w:bodyDiv w:val="1"/>
      <w:marLeft w:val="0"/>
      <w:marRight w:val="0"/>
      <w:marTop w:val="0"/>
      <w:marBottom w:val="0"/>
      <w:divBdr>
        <w:top w:val="none" w:sz="0" w:space="0" w:color="auto"/>
        <w:left w:val="none" w:sz="0" w:space="0" w:color="auto"/>
        <w:bottom w:val="none" w:sz="0" w:space="0" w:color="auto"/>
        <w:right w:val="none" w:sz="0" w:space="0" w:color="auto"/>
      </w:divBdr>
      <w:divsChild>
        <w:div w:id="2095592731">
          <w:marLeft w:val="0"/>
          <w:marRight w:val="0"/>
          <w:marTop w:val="0"/>
          <w:marBottom w:val="0"/>
          <w:divBdr>
            <w:top w:val="none" w:sz="0" w:space="0" w:color="auto"/>
            <w:left w:val="none" w:sz="0" w:space="0" w:color="auto"/>
            <w:bottom w:val="none" w:sz="0" w:space="0" w:color="auto"/>
            <w:right w:val="none" w:sz="0" w:space="0" w:color="auto"/>
          </w:divBdr>
          <w:divsChild>
            <w:div w:id="2055226396">
              <w:marLeft w:val="0"/>
              <w:marRight w:val="0"/>
              <w:marTop w:val="0"/>
              <w:marBottom w:val="0"/>
              <w:divBdr>
                <w:top w:val="none" w:sz="0" w:space="0" w:color="auto"/>
                <w:left w:val="none" w:sz="0" w:space="0" w:color="auto"/>
                <w:bottom w:val="none" w:sz="0" w:space="0" w:color="auto"/>
                <w:right w:val="none" w:sz="0" w:space="0" w:color="auto"/>
              </w:divBdr>
            </w:div>
          </w:divsChild>
        </w:div>
        <w:div w:id="477308308">
          <w:marLeft w:val="0"/>
          <w:marRight w:val="0"/>
          <w:marTop w:val="0"/>
          <w:marBottom w:val="0"/>
          <w:divBdr>
            <w:top w:val="none" w:sz="0" w:space="0" w:color="auto"/>
            <w:left w:val="none" w:sz="0" w:space="0" w:color="auto"/>
            <w:bottom w:val="none" w:sz="0" w:space="0" w:color="auto"/>
            <w:right w:val="none" w:sz="0" w:space="0" w:color="auto"/>
          </w:divBdr>
          <w:divsChild>
            <w:div w:id="1291550329">
              <w:marLeft w:val="0"/>
              <w:marRight w:val="0"/>
              <w:marTop w:val="0"/>
              <w:marBottom w:val="0"/>
              <w:divBdr>
                <w:top w:val="none" w:sz="0" w:space="0" w:color="auto"/>
                <w:left w:val="none" w:sz="0" w:space="0" w:color="auto"/>
                <w:bottom w:val="none" w:sz="0" w:space="0" w:color="auto"/>
                <w:right w:val="none" w:sz="0" w:space="0" w:color="auto"/>
              </w:divBdr>
            </w:div>
          </w:divsChild>
        </w:div>
        <w:div w:id="87819972">
          <w:marLeft w:val="0"/>
          <w:marRight w:val="0"/>
          <w:marTop w:val="0"/>
          <w:marBottom w:val="0"/>
          <w:divBdr>
            <w:top w:val="none" w:sz="0" w:space="0" w:color="auto"/>
            <w:left w:val="none" w:sz="0" w:space="0" w:color="auto"/>
            <w:bottom w:val="none" w:sz="0" w:space="0" w:color="auto"/>
            <w:right w:val="none" w:sz="0" w:space="0" w:color="auto"/>
          </w:divBdr>
          <w:divsChild>
            <w:div w:id="1854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188">
      <w:bodyDiv w:val="1"/>
      <w:marLeft w:val="0"/>
      <w:marRight w:val="0"/>
      <w:marTop w:val="0"/>
      <w:marBottom w:val="0"/>
      <w:divBdr>
        <w:top w:val="none" w:sz="0" w:space="0" w:color="auto"/>
        <w:left w:val="none" w:sz="0" w:space="0" w:color="auto"/>
        <w:bottom w:val="none" w:sz="0" w:space="0" w:color="auto"/>
        <w:right w:val="none" w:sz="0" w:space="0" w:color="auto"/>
      </w:divBdr>
      <w:divsChild>
        <w:div w:id="1654915529">
          <w:marLeft w:val="0"/>
          <w:marRight w:val="0"/>
          <w:marTop w:val="0"/>
          <w:marBottom w:val="0"/>
          <w:divBdr>
            <w:top w:val="none" w:sz="0" w:space="0" w:color="auto"/>
            <w:left w:val="none" w:sz="0" w:space="0" w:color="auto"/>
            <w:bottom w:val="none" w:sz="0" w:space="0" w:color="auto"/>
            <w:right w:val="none" w:sz="0" w:space="0" w:color="auto"/>
          </w:divBdr>
          <w:divsChild>
            <w:div w:id="1203833886">
              <w:marLeft w:val="0"/>
              <w:marRight w:val="0"/>
              <w:marTop w:val="0"/>
              <w:marBottom w:val="0"/>
              <w:divBdr>
                <w:top w:val="none" w:sz="0" w:space="0" w:color="auto"/>
                <w:left w:val="none" w:sz="0" w:space="0" w:color="auto"/>
                <w:bottom w:val="none" w:sz="0" w:space="0" w:color="auto"/>
                <w:right w:val="none" w:sz="0" w:space="0" w:color="auto"/>
              </w:divBdr>
            </w:div>
          </w:divsChild>
        </w:div>
        <w:div w:id="648830801">
          <w:marLeft w:val="0"/>
          <w:marRight w:val="0"/>
          <w:marTop w:val="0"/>
          <w:marBottom w:val="0"/>
          <w:divBdr>
            <w:top w:val="none" w:sz="0" w:space="0" w:color="auto"/>
            <w:left w:val="none" w:sz="0" w:space="0" w:color="auto"/>
            <w:bottom w:val="none" w:sz="0" w:space="0" w:color="auto"/>
            <w:right w:val="none" w:sz="0" w:space="0" w:color="auto"/>
          </w:divBdr>
          <w:divsChild>
            <w:div w:id="1457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0856E7-E534-404D-83B9-A3E6B26B6CFF}">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53</TotalTime>
  <Pages>1</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7</cp:revision>
  <dcterms:created xsi:type="dcterms:W3CDTF">2025-03-18T16:10:00Z</dcterms:created>
  <dcterms:modified xsi:type="dcterms:W3CDTF">2025-03-19T18:35:00Z</dcterms:modified>
</cp:coreProperties>
</file>